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473328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Pflichtmodul Neues Testament 2 (Nr. 3751)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A1F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473328" w:rsidRPr="00473328" w:rsidRDefault="00473328" w:rsidP="00473328">
            <w:pPr>
              <w:rPr>
                <w:rFonts w:ascii="Arial" w:hAnsi="Arial" w:cs="Arial"/>
              </w:rPr>
            </w:pPr>
            <w:r w:rsidRPr="00473328">
              <w:rPr>
                <w:rFonts w:ascii="Arial" w:hAnsi="Arial" w:cs="Arial"/>
              </w:rPr>
              <w:t>HS Themen der neutestamentlichen</w:t>
            </w:r>
          </w:p>
          <w:p w:rsidR="00473328" w:rsidRPr="00473328" w:rsidRDefault="00473328" w:rsidP="00473328">
            <w:pPr>
              <w:rPr>
                <w:rFonts w:ascii="Arial" w:hAnsi="Arial" w:cs="Arial"/>
              </w:rPr>
            </w:pPr>
            <w:r w:rsidRPr="00473328">
              <w:rPr>
                <w:rFonts w:ascii="Arial" w:hAnsi="Arial" w:cs="Arial"/>
              </w:rPr>
              <w:t>Theologie (2 SWS</w:t>
            </w:r>
            <w:r>
              <w:rPr>
                <w:rFonts w:ascii="Arial" w:hAnsi="Arial" w:cs="Arial"/>
              </w:rPr>
              <w:t>; anwesenheitspflichtig</w:t>
            </w:r>
            <w:r w:rsidRPr="00473328">
              <w:rPr>
                <w:rFonts w:ascii="Arial" w:hAnsi="Arial" w:cs="Arial"/>
              </w:rPr>
              <w:t>)</w:t>
            </w:r>
          </w:p>
          <w:p w:rsidR="008B766C" w:rsidRPr="00395704" w:rsidRDefault="00473328" w:rsidP="00473328">
            <w:pPr>
              <w:rPr>
                <w:rFonts w:ascii="Arial" w:hAnsi="Arial" w:cs="Arial"/>
              </w:rPr>
            </w:pPr>
            <w:r w:rsidRPr="00473328">
              <w:rPr>
                <w:rFonts w:ascii="Arial" w:hAnsi="Arial" w:cs="Arial"/>
              </w:rPr>
              <w:t>V Themen der neutestamentlichen</w:t>
            </w:r>
            <w:r>
              <w:rPr>
                <w:rFonts w:ascii="Arial" w:hAnsi="Arial" w:cs="Arial"/>
              </w:rPr>
              <w:t xml:space="preserve"> Theologie 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7E5C2" wp14:editId="396647BA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606B70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473328">
              <w:rPr>
                <w:rFonts w:ascii="Arial" w:hAnsi="Arial" w:cs="Arial"/>
              </w:rPr>
              <w:t>3 ECTS</w:t>
            </w:r>
            <w:r w:rsidR="00473328">
              <w:rPr>
                <w:rFonts w:ascii="Arial" w:hAnsi="Arial" w:cs="Arial"/>
              </w:rPr>
              <w:br/>
            </w:r>
          </w:p>
          <w:p w:rsidR="00473328" w:rsidRPr="00395704" w:rsidRDefault="00473328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473328" w:rsidP="0032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Pilhofer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26D25">
              <w:rPr>
                <w:rFonts w:ascii="Arial" w:hAnsi="Arial" w:cs="Arial"/>
              </w:rPr>
              <w:t xml:space="preserve">Prof. Dr. David du </w:t>
            </w:r>
            <w:proofErr w:type="spellStart"/>
            <w:r w:rsidR="00326D25">
              <w:rPr>
                <w:rFonts w:ascii="Arial" w:hAnsi="Arial" w:cs="Arial"/>
              </w:rPr>
              <w:t>Toit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4A0B07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i.V. </w:t>
            </w:r>
            <w:r w:rsidR="00473328">
              <w:rPr>
                <w:rFonts w:ascii="Arial" w:hAnsi="Arial" w:cs="Arial"/>
                <w:sz w:val="22"/>
                <w:szCs w:val="22"/>
              </w:rPr>
              <w:t>Prof. Dr. Pilhofer</w:t>
            </w:r>
          </w:p>
        </w:tc>
      </w:tr>
      <w:tr w:rsidR="008B766C" w:rsidRPr="00395704" w:rsidTr="006A60EB">
        <w:trPr>
          <w:trHeight w:val="8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Das Modul dient der Vertiefung der kritischen</w:t>
            </w:r>
          </w:p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Auseinandersetzung mit dem Neuen Testament anhand ausgewählter neutestamentlicher Problemstellungen</w:t>
            </w:r>
          </w:p>
          <w:p w:rsidR="008B766C" w:rsidRPr="00AB1AE2" w:rsidRDefault="008B766C" w:rsidP="00BB1F0E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 xml:space="preserve">Die Studierenden </w:t>
            </w:r>
          </w:p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- erwerben einen Einblick in geographische,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politische, kulturelle und religiöse Verhältnisse in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den Verbreitungsgebieten des Urchristentums;</w:t>
            </w:r>
          </w:p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- können die Gebundenheit neutestamentlicher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Aussagen an die antike Sprache,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Vorstellungswelt und Denkvoraussetzungen der</w:t>
            </w:r>
          </w:p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griechisch-römischen Antike sowie des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zeitgenössischen Judentums reflektieren;</w:t>
            </w:r>
          </w:p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- können neutestamentliche Problemstellungen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beurteilen und vertiefend bearbeiten;</w:t>
            </w:r>
          </w:p>
          <w:p w:rsidR="00473328" w:rsidRPr="00473328" w:rsidRDefault="00473328" w:rsidP="00473328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- erwerben hermeneutisch-methodische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Kompetenz im Umgang mit historischen Texten.</w:t>
            </w:r>
          </w:p>
          <w:p w:rsidR="008B766C" w:rsidRPr="008B766C" w:rsidRDefault="00473328" w:rsidP="004A0B07">
            <w:pPr>
              <w:rPr>
                <w:rFonts w:ascii="Arial" w:hAnsi="Arial" w:cs="Arial"/>
                <w:sz w:val="22"/>
                <w:szCs w:val="22"/>
              </w:rPr>
            </w:pPr>
            <w:r w:rsidRPr="00473328">
              <w:rPr>
                <w:rFonts w:ascii="Arial" w:hAnsi="Arial" w:cs="Arial"/>
                <w:sz w:val="22"/>
                <w:szCs w:val="22"/>
              </w:rPr>
              <w:t>Die Kompetenz zur selbstständigen und kritischen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Auseinandersetzung mit neutestamentlichen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Problemstellungen sowie die Anwendung</w:t>
            </w:r>
            <w:r w:rsidR="0078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28">
              <w:rPr>
                <w:rFonts w:ascii="Arial" w:hAnsi="Arial" w:cs="Arial"/>
                <w:sz w:val="22"/>
                <w:szCs w:val="22"/>
              </w:rPr>
              <w:t>exegetischer Methoden werden in Seminar un</w:t>
            </w:r>
            <w:r>
              <w:rPr>
                <w:rFonts w:ascii="Arial" w:hAnsi="Arial" w:cs="Arial"/>
                <w:sz w:val="22"/>
                <w:szCs w:val="22"/>
              </w:rPr>
              <w:t>d Hausarbeit vertieft. Die besondere Form des gemeinsamen Erschließens neutestamentlicher Texte im Seminar erfordert die Anwesenheit aller Teilnehmer.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473328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Pflichtmodul Neues Testament 1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473328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und 6.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6A60EB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Hausarbeit oder ausgearbeitetes Referat im HS</w:t>
            </w:r>
            <w:r w:rsidR="00E14349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E14349">
              <w:rPr>
                <w:rFonts w:ascii="Arial" w:hAnsi="Arial" w:cs="Arial"/>
                <w:sz w:val="22"/>
                <w:szCs w:val="22"/>
              </w:rPr>
              <w:t>(</w:t>
            </w:r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E14349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E14349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6A60EB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Halbj</w:t>
            </w:r>
            <w:r w:rsidR="00CB2535">
              <w:rPr>
                <w:rFonts w:ascii="Arial" w:hAnsi="Arial" w:cs="Arial"/>
                <w:sz w:val="22"/>
                <w:szCs w:val="22"/>
              </w:rPr>
              <w:t>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B" w:rsidRPr="006A60EB" w:rsidRDefault="006A60EB" w:rsidP="006A60EB">
            <w:pPr>
              <w:rPr>
                <w:rFonts w:ascii="Arial" w:hAnsi="Arial" w:cs="Arial"/>
                <w:sz w:val="22"/>
                <w:szCs w:val="22"/>
              </w:rPr>
            </w:pPr>
            <w:r w:rsidRPr="006A60EB">
              <w:rPr>
                <w:rFonts w:ascii="Arial" w:hAnsi="Arial" w:cs="Arial"/>
                <w:sz w:val="22"/>
                <w:szCs w:val="22"/>
              </w:rPr>
              <w:t>Literaturhinweise finden sich im aktuellen</w:t>
            </w:r>
          </w:p>
          <w:p w:rsidR="008B766C" w:rsidRPr="004D5EE5" w:rsidRDefault="006A60EB" w:rsidP="006A60EB">
            <w:pPr>
              <w:rPr>
                <w:rFonts w:ascii="Arial" w:hAnsi="Arial" w:cs="Arial"/>
                <w:sz w:val="22"/>
                <w:szCs w:val="22"/>
              </w:rPr>
            </w:pPr>
            <w:r w:rsidRPr="006A60EB">
              <w:rPr>
                <w:rFonts w:ascii="Arial" w:hAnsi="Arial" w:cs="Arial"/>
                <w:sz w:val="22"/>
                <w:szCs w:val="22"/>
              </w:rPr>
              <w:t xml:space="preserve">Vorlesungsverzeichnis (Einträge im </w:t>
            </w:r>
            <w:proofErr w:type="spellStart"/>
            <w:r w:rsidRPr="006A60EB"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432A9D" w:rsidRDefault="00432A9D" w:rsidP="0078018C"/>
    <w:sectPr w:rsidR="00432A9D" w:rsidSect="0078018C">
      <w:headerReference w:type="even" r:id="rId9"/>
      <w:headerReference w:type="default" r:id="rId10"/>
      <w:headerReference w:type="first" r:id="rId11"/>
      <w:pgSz w:w="11907" w:h="16840"/>
      <w:pgMar w:top="851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37" w:rsidRDefault="00D43A37">
      <w:r>
        <w:separator/>
      </w:r>
    </w:p>
  </w:endnote>
  <w:endnote w:type="continuationSeparator" w:id="0">
    <w:p w:rsidR="00D43A37" w:rsidRDefault="00D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37" w:rsidRDefault="00D43A37">
      <w:r>
        <w:separator/>
      </w:r>
    </w:p>
  </w:footnote>
  <w:footnote w:type="continuationSeparator" w:id="0">
    <w:p w:rsidR="00D43A37" w:rsidRDefault="00D4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D43A37">
    <w:pPr>
      <w:pStyle w:val="Kopfzeile"/>
      <w:tabs>
        <w:tab w:val="clear" w:pos="8504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D43A37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2F25C7"/>
    <w:rsid w:val="00326D25"/>
    <w:rsid w:val="00432A9D"/>
    <w:rsid w:val="00473328"/>
    <w:rsid w:val="004A0B07"/>
    <w:rsid w:val="006A60EB"/>
    <w:rsid w:val="00747425"/>
    <w:rsid w:val="0078018C"/>
    <w:rsid w:val="00801E8B"/>
    <w:rsid w:val="008B766C"/>
    <w:rsid w:val="00AF3F95"/>
    <w:rsid w:val="00CB2535"/>
    <w:rsid w:val="00D43A37"/>
    <w:rsid w:val="00E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33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332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3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328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0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018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33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332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3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328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0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018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8656-071F-4484-AEF4-AA37F51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6</cp:revision>
  <dcterms:created xsi:type="dcterms:W3CDTF">2016-01-07T12:30:00Z</dcterms:created>
  <dcterms:modified xsi:type="dcterms:W3CDTF">2020-05-13T20:18:00Z</dcterms:modified>
</cp:coreProperties>
</file>