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C" w:rsidRPr="00395704" w:rsidRDefault="008B766C" w:rsidP="008B76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395704">
        <w:rPr>
          <w:rFonts w:ascii="Arial" w:hAnsi="Arial" w:cs="Arial"/>
          <w:b/>
          <w:sz w:val="28"/>
          <w:szCs w:val="28"/>
        </w:rPr>
        <w:t>odul</w:t>
      </w:r>
      <w:r>
        <w:rPr>
          <w:rFonts w:ascii="Arial" w:hAnsi="Arial" w:cs="Arial"/>
          <w:b/>
          <w:sz w:val="28"/>
          <w:szCs w:val="28"/>
        </w:rPr>
        <w:t xml:space="preserve">beschreibung </w:t>
      </w:r>
    </w:p>
    <w:p w:rsidR="008B766C" w:rsidRPr="005735A7" w:rsidRDefault="008B766C" w:rsidP="008B766C">
      <w:pPr>
        <w:rPr>
          <w:rFonts w:ascii="Arial" w:hAnsi="Arial" w:cs="Arial"/>
          <w:sz w:val="28"/>
          <w:szCs w:val="28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5103"/>
        <w:gridCol w:w="1417"/>
      </w:tblGrid>
      <w:tr w:rsidR="008B766C" w:rsidRPr="00395704" w:rsidTr="00A37E78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double" w:sz="4" w:space="0" w:color="auto"/>
            </w:tcBorders>
            <w:shd w:val="clear" w:color="auto" w:fill="FFCC99"/>
            <w:vAlign w:val="center"/>
          </w:tcPr>
          <w:p w:rsidR="008B766C" w:rsidRPr="008428D2" w:rsidRDefault="008B766C" w:rsidP="00A37E78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Modulbezeichnung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FFCC99"/>
            <w:vAlign w:val="center"/>
          </w:tcPr>
          <w:p w:rsidR="00C11787" w:rsidRDefault="00C11787" w:rsidP="00A37E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Pflichtm</w:t>
            </w:r>
            <w:r w:rsidR="00A37E78">
              <w:rPr>
                <w:rFonts w:ascii="Arial" w:hAnsi="Arial" w:cs="Arial"/>
                <w:b/>
              </w:rPr>
              <w:t xml:space="preserve">odul </w:t>
            </w:r>
            <w:r w:rsidR="00370C9E">
              <w:rPr>
                <w:rFonts w:ascii="Arial" w:hAnsi="Arial" w:cs="Arial"/>
                <w:b/>
              </w:rPr>
              <w:t>Religionswissenschaft 2</w:t>
            </w:r>
            <w:r w:rsidR="00D45C53">
              <w:rPr>
                <w:rFonts w:ascii="Arial" w:hAnsi="Arial" w:cs="Arial"/>
                <w:b/>
              </w:rPr>
              <w:t xml:space="preserve"> </w:t>
            </w:r>
          </w:p>
          <w:p w:rsidR="008B766C" w:rsidRPr="008428D2" w:rsidRDefault="00D45C53" w:rsidP="00A37E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(Nr. 8791</w:t>
            </w:r>
            <w:r w:rsidR="00A37E7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8B766C" w:rsidRPr="00395704" w:rsidRDefault="008B766C" w:rsidP="00A37E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D3E77A" wp14:editId="6C6422BC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143510</wp:posOffset>
                      </wp:positionV>
                      <wp:extent cx="620395" cy="12084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20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66C" w:rsidRPr="006C2974" w:rsidRDefault="008B766C" w:rsidP="008B76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0D3E7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9.65pt;margin-top:11.3pt;width:48.8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iirQIAAKk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" filled="f" stroked="f">
                      <v:textbox inset="0,0,0,0">
                        <w:txbxContent>
                          <w:p w:rsidR="008B766C" w:rsidRPr="006C2974" w:rsidRDefault="008B766C" w:rsidP="008B76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42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ECTS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 w:rsidRPr="00395704">
              <w:rPr>
                <w:rFonts w:ascii="Arial" w:hAnsi="Arial" w:cs="Arial"/>
              </w:rPr>
              <w:t>Lehrveranstaltungen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CC99"/>
          </w:tcPr>
          <w:p w:rsidR="00D8262E" w:rsidRDefault="00A37E78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 „</w:t>
            </w:r>
            <w:r w:rsidR="00D45C53">
              <w:rPr>
                <w:rFonts w:ascii="Arial" w:hAnsi="Arial" w:cs="Arial"/>
              </w:rPr>
              <w:t>Grundzüge einer nichtchristlichen Religion</w:t>
            </w:r>
            <w:r>
              <w:rPr>
                <w:rFonts w:ascii="Arial" w:hAnsi="Arial" w:cs="Arial"/>
              </w:rPr>
              <w:t>“</w:t>
            </w:r>
            <w:r w:rsidR="00D8262E">
              <w:rPr>
                <w:rFonts w:ascii="Arial" w:hAnsi="Arial" w:cs="Arial"/>
              </w:rPr>
              <w:t xml:space="preserve"> (2 SWS)</w:t>
            </w:r>
            <w:r>
              <w:rPr>
                <w:rFonts w:ascii="Arial" w:hAnsi="Arial" w:cs="Arial"/>
              </w:rPr>
              <w:br/>
              <w:t>Sem „Religionswissenschaftliche Themen“</w:t>
            </w:r>
          </w:p>
          <w:p w:rsidR="008B766C" w:rsidRPr="00D8262E" w:rsidRDefault="00D8262E" w:rsidP="00D82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 </w:t>
            </w:r>
            <w:r w:rsidRPr="00D8262E">
              <w:rPr>
                <w:rFonts w:ascii="Arial" w:hAnsi="Arial" w:cs="Arial"/>
              </w:rPr>
              <w:t>SWS; anwesenheitspflichtig)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CC99"/>
          </w:tcPr>
          <w:p w:rsidR="00D8262E" w:rsidRDefault="008B766C" w:rsidP="00D8262E">
            <w:pPr>
              <w:rPr>
                <w:rFonts w:ascii="Arial" w:hAnsi="Arial" w:cs="Aria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FB7EF" wp14:editId="41902E35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17780</wp:posOffset>
                      </wp:positionV>
                      <wp:extent cx="155575" cy="228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5575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392610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margin-left:205.4pt;margin-top:1.4pt;width:12.2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"/>
                  </w:pict>
                </mc:Fallback>
              </mc:AlternateContent>
            </w:r>
            <w:r w:rsidR="00D8262E">
              <w:rPr>
                <w:rFonts w:ascii="Arial" w:hAnsi="Arial" w:cs="Arial"/>
              </w:rPr>
              <w:t>2 ECTS</w:t>
            </w:r>
          </w:p>
          <w:p w:rsidR="008B766C" w:rsidRPr="00D8262E" w:rsidRDefault="00D8262E" w:rsidP="00D82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37E78" w:rsidRPr="00D8262E">
              <w:rPr>
                <w:rFonts w:ascii="Arial" w:hAnsi="Arial" w:cs="Arial"/>
              </w:rPr>
              <w:t>3 ECTS</w:t>
            </w:r>
          </w:p>
        </w:tc>
      </w:tr>
      <w:tr w:rsidR="008B766C" w:rsidRPr="00A37E78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CC99"/>
          </w:tcPr>
          <w:p w:rsidR="008B766C" w:rsidRPr="00A37E78" w:rsidRDefault="00A37E78" w:rsidP="007B05B0">
            <w:pPr>
              <w:rPr>
                <w:rFonts w:ascii="Arial" w:hAnsi="Arial" w:cs="Arial"/>
              </w:rPr>
            </w:pPr>
            <w:r w:rsidRPr="00A37E78">
              <w:rPr>
                <w:rFonts w:ascii="Arial" w:hAnsi="Arial" w:cs="Arial"/>
              </w:rPr>
              <w:t xml:space="preserve">Prof. Dr. Andreas Nehring, </w:t>
            </w:r>
            <w:r w:rsidR="007B05B0">
              <w:rPr>
                <w:rFonts w:ascii="Arial" w:hAnsi="Arial" w:cs="Arial"/>
              </w:rPr>
              <w:t>Stefanie Burkhardt</w:t>
            </w:r>
            <w:r w:rsidR="00E81CE4">
              <w:rPr>
                <w:rFonts w:ascii="Arial" w:hAnsi="Arial" w:cs="Arial"/>
              </w:rPr>
              <w:t>, Dr. Rüdiger Braun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8B766C" w:rsidRPr="00A37E78" w:rsidRDefault="008B766C" w:rsidP="00BB1F0E">
            <w:pPr>
              <w:rPr>
                <w:rFonts w:ascii="Arial" w:hAnsi="Arial" w:cs="Arial"/>
              </w:rPr>
            </w:pPr>
          </w:p>
        </w:tc>
      </w:tr>
    </w:tbl>
    <w:p w:rsidR="008B766C" w:rsidRPr="00A37E78" w:rsidRDefault="008B766C" w:rsidP="008B766C">
      <w:pPr>
        <w:rPr>
          <w:rFonts w:ascii="Arial" w:hAnsi="Arial" w:cs="Arial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6520"/>
      </w:tblGrid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A37E78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CB2535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Modulverant</w:t>
            </w:r>
            <w:r w:rsidR="008B766C">
              <w:rPr>
                <w:rFonts w:ascii="Arial" w:hAnsi="Arial" w:cs="Arial"/>
                <w:b/>
              </w:rPr>
              <w:t>wortliche/r</w:t>
            </w:r>
          </w:p>
        </w:tc>
        <w:tc>
          <w:tcPr>
            <w:tcW w:w="6520" w:type="dxa"/>
          </w:tcPr>
          <w:p w:rsidR="008B766C" w:rsidRPr="008C16C0" w:rsidRDefault="00A37E78" w:rsidP="00747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Dr. Andreas Nehring</w:t>
            </w:r>
          </w:p>
        </w:tc>
      </w:tr>
      <w:tr w:rsidR="008B766C" w:rsidRPr="00395704" w:rsidTr="00A37E78">
        <w:trPr>
          <w:trHeight w:val="96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Inha</w:t>
            </w:r>
            <w:r>
              <w:rPr>
                <w:rFonts w:ascii="Arial" w:hAnsi="Arial" w:cs="Arial"/>
                <w:b/>
              </w:rPr>
              <w:t xml:space="preserve">lt </w:t>
            </w:r>
          </w:p>
        </w:tc>
        <w:tc>
          <w:tcPr>
            <w:tcW w:w="6520" w:type="dxa"/>
          </w:tcPr>
          <w:p w:rsidR="008B766C" w:rsidRPr="00D45C53" w:rsidRDefault="00A37E78" w:rsidP="00D45C53">
            <w:pPr>
              <w:pStyle w:val="Default"/>
              <w:rPr>
                <w:color w:val="auto"/>
                <w:sz w:val="22"/>
                <w:szCs w:val="22"/>
              </w:rPr>
            </w:pPr>
            <w:r w:rsidRPr="00A37E78">
              <w:rPr>
                <w:color w:val="auto"/>
                <w:sz w:val="22"/>
                <w:szCs w:val="22"/>
              </w:rPr>
              <w:t xml:space="preserve">Das Modul dient der Einführung in </w:t>
            </w:r>
            <w:r w:rsidR="00D45C53">
              <w:rPr>
                <w:color w:val="auto"/>
                <w:sz w:val="22"/>
                <w:szCs w:val="22"/>
              </w:rPr>
              <w:t xml:space="preserve">eine nichtchristliche Religion sowie </w:t>
            </w:r>
            <w:r w:rsidR="00D45C53" w:rsidRPr="00D45C53">
              <w:rPr>
                <w:color w:val="auto"/>
                <w:sz w:val="22"/>
                <w:szCs w:val="22"/>
              </w:rPr>
              <w:t>der Bekanntschaft mit zentralen Themen auch de</w:t>
            </w:r>
            <w:r w:rsidR="00D45C53">
              <w:rPr>
                <w:color w:val="auto"/>
                <w:sz w:val="22"/>
                <w:szCs w:val="22"/>
              </w:rPr>
              <w:t>r interreligiösen Begegnung</w:t>
            </w:r>
            <w:r w:rsidRPr="00D45C53">
              <w:rPr>
                <w:color w:val="auto"/>
                <w:sz w:val="22"/>
                <w:szCs w:val="22"/>
              </w:rPr>
              <w:t>.</w:t>
            </w:r>
          </w:p>
        </w:tc>
      </w:tr>
      <w:tr w:rsidR="008B766C" w:rsidRPr="00395704" w:rsidTr="00CB2535">
        <w:trPr>
          <w:trHeight w:val="350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Lernziele und Kompetenzen</w:t>
            </w:r>
          </w:p>
          <w:p w:rsidR="008B766C" w:rsidRPr="00395704" w:rsidRDefault="008B766C" w:rsidP="00BB1F0E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8B766C" w:rsidRPr="008B766C" w:rsidRDefault="00254F92" w:rsidP="00254F92">
            <w:pPr>
              <w:rPr>
                <w:rFonts w:ascii="Arial" w:hAnsi="Arial" w:cs="Arial"/>
                <w:sz w:val="22"/>
                <w:szCs w:val="22"/>
              </w:rPr>
            </w:pPr>
            <w:r w:rsidRPr="00254F92">
              <w:rPr>
                <w:rFonts w:ascii="Arial" w:hAnsi="Arial" w:cs="Arial"/>
                <w:sz w:val="22"/>
                <w:szCs w:val="22"/>
              </w:rPr>
              <w:t>Die Studierenden erwerben Kompe</w:t>
            </w:r>
            <w:r>
              <w:rPr>
                <w:rFonts w:ascii="Arial" w:hAnsi="Arial" w:cs="Arial"/>
                <w:sz w:val="22"/>
                <w:szCs w:val="22"/>
              </w:rPr>
              <w:t xml:space="preserve">tenzen in der Beschäftigung mit </w:t>
            </w:r>
            <w:r w:rsidRPr="00254F92">
              <w:rPr>
                <w:rFonts w:ascii="Arial" w:hAnsi="Arial" w:cs="Arial"/>
                <w:sz w:val="22"/>
                <w:szCs w:val="22"/>
              </w:rPr>
              <w:t>einer nichtchristlichen Religion, wi</w:t>
            </w:r>
            <w:r>
              <w:rPr>
                <w:rFonts w:ascii="Arial" w:hAnsi="Arial" w:cs="Arial"/>
                <w:sz w:val="22"/>
                <w:szCs w:val="22"/>
              </w:rPr>
              <w:t xml:space="preserve">e Islam, Buddhismus, Hinduismus </w:t>
            </w:r>
            <w:r w:rsidRPr="00254F92">
              <w:rPr>
                <w:rFonts w:ascii="Arial" w:hAnsi="Arial" w:cs="Arial"/>
                <w:sz w:val="22"/>
                <w:szCs w:val="22"/>
              </w:rPr>
              <w:t xml:space="preserve">oder Judentum. Sie erarbeiten in den </w:t>
            </w:r>
            <w:r>
              <w:rPr>
                <w:rFonts w:ascii="Arial" w:hAnsi="Arial" w:cs="Arial"/>
                <w:sz w:val="22"/>
                <w:szCs w:val="22"/>
              </w:rPr>
              <w:t>jeweiligen Religionen relevante Themen, wie</w:t>
            </w:r>
            <w:r w:rsidRPr="00254F92">
              <w:rPr>
                <w:rFonts w:ascii="Arial" w:hAnsi="Arial" w:cs="Arial"/>
                <w:sz w:val="22"/>
                <w:szCs w:val="22"/>
              </w:rPr>
              <w:t xml:space="preserve"> beispielsweise Engagiert</w:t>
            </w:r>
            <w:r>
              <w:rPr>
                <w:rFonts w:ascii="Arial" w:hAnsi="Arial" w:cs="Arial"/>
                <w:sz w:val="22"/>
                <w:szCs w:val="22"/>
              </w:rPr>
              <w:t xml:space="preserve">er Buddhismus, Koran und Bibel, </w:t>
            </w:r>
            <w:r w:rsidRPr="00254F92">
              <w:rPr>
                <w:rFonts w:ascii="Arial" w:hAnsi="Arial" w:cs="Arial"/>
                <w:sz w:val="22"/>
                <w:szCs w:val="22"/>
              </w:rPr>
              <w:t>Christus in den Religionen, Leben und Tod in den Religionen  u.a</w:t>
            </w:r>
            <w:r w:rsidR="00D8262E">
              <w:rPr>
                <w:rFonts w:ascii="Arial" w:hAnsi="Arial" w:cs="Arial"/>
                <w:sz w:val="22"/>
                <w:szCs w:val="22"/>
              </w:rPr>
              <w:t>.</w:t>
            </w:r>
            <w:r w:rsidR="00D8262E">
              <w:rPr>
                <w:rFonts w:ascii="Arial" w:hAnsi="Arial" w:cs="Arial"/>
                <w:sz w:val="22"/>
                <w:szCs w:val="22"/>
              </w:rPr>
              <w:br/>
              <w:t>Die besondere Form des gemeinsamen Erschließens religionswissenschaftlicher Texte im Seminar erfordert für den erfolgreichen Abschluss dieser Lehrveranstaltung regelmäßige Teilnahme.</w:t>
            </w:r>
          </w:p>
        </w:tc>
      </w:tr>
      <w:tr w:rsidR="008B766C" w:rsidRPr="00395704" w:rsidTr="00CB2535">
        <w:trPr>
          <w:trHeight w:val="64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Voraussetzu</w:t>
            </w:r>
            <w:r>
              <w:rPr>
                <w:rFonts w:ascii="Arial" w:hAnsi="Arial" w:cs="Arial"/>
                <w:b/>
              </w:rPr>
              <w:t xml:space="preserve">ngen für </w:t>
            </w:r>
            <w:r w:rsidRPr="00395704">
              <w:rPr>
                <w:rFonts w:ascii="Arial" w:hAnsi="Arial" w:cs="Arial"/>
                <w:b/>
              </w:rPr>
              <w:t>die Teilnahme</w:t>
            </w:r>
          </w:p>
        </w:tc>
        <w:tc>
          <w:tcPr>
            <w:tcW w:w="6520" w:type="dxa"/>
          </w:tcPr>
          <w:p w:rsidR="008B766C" w:rsidRPr="004D5EE5" w:rsidRDefault="00D8262E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Keine</w:t>
            </w:r>
          </w:p>
        </w:tc>
      </w:tr>
      <w:tr w:rsidR="008B766C" w:rsidRPr="00395704" w:rsidTr="00CB2535">
        <w:trPr>
          <w:trHeight w:val="52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ind w:hanging="37"/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 xml:space="preserve"> Einpassung in Musterstudienplan</w:t>
            </w:r>
          </w:p>
        </w:tc>
        <w:tc>
          <w:tcPr>
            <w:tcW w:w="6520" w:type="dxa"/>
          </w:tcPr>
          <w:p w:rsidR="008B766C" w:rsidRPr="00E06A67" w:rsidRDefault="00254F92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und 8</w:t>
            </w:r>
            <w:r w:rsidR="00D8262E">
              <w:rPr>
                <w:rFonts w:ascii="Arial" w:hAnsi="Arial" w:cs="Arial"/>
                <w:sz w:val="22"/>
                <w:szCs w:val="22"/>
              </w:rPr>
              <w:t>. Semester</w:t>
            </w:r>
          </w:p>
        </w:tc>
      </w:tr>
      <w:tr w:rsidR="008B766C" w:rsidRPr="00395704" w:rsidTr="00CB2535">
        <w:trPr>
          <w:trHeight w:val="63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:rsidR="008B766C" w:rsidRPr="00C72E47" w:rsidRDefault="008B766C" w:rsidP="00BB1F0E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Verwendbarkeit des Moduls</w:t>
            </w:r>
          </w:p>
        </w:tc>
        <w:tc>
          <w:tcPr>
            <w:tcW w:w="6520" w:type="dxa"/>
          </w:tcPr>
          <w:p w:rsidR="008B766C" w:rsidRPr="004D5EE5" w:rsidRDefault="00CB2535" w:rsidP="008B76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Evangelische Religionslehre für das Lehramt am Gymnasium</w:t>
            </w:r>
          </w:p>
        </w:tc>
      </w:tr>
      <w:tr w:rsidR="00D16EE8" w:rsidRPr="00395704" w:rsidTr="00CB2535">
        <w:trPr>
          <w:trHeight w:val="531"/>
        </w:trPr>
        <w:tc>
          <w:tcPr>
            <w:tcW w:w="540" w:type="dxa"/>
          </w:tcPr>
          <w:p w:rsidR="00D16EE8" w:rsidRPr="00395704" w:rsidRDefault="00D16EE8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D16EE8" w:rsidRPr="00395704" w:rsidRDefault="00D16EE8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Studien- und Prüfungsleistungen</w:t>
            </w:r>
          </w:p>
        </w:tc>
        <w:tc>
          <w:tcPr>
            <w:tcW w:w="6520" w:type="dxa"/>
          </w:tcPr>
          <w:p w:rsidR="00D16EE8" w:rsidRPr="004D5EE5" w:rsidRDefault="00D16EE8" w:rsidP="00CC5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Klausur (90‘ – 120‘) oder mündliche Prüfung (15‘ – 30‘</w:t>
            </w:r>
            <w:r w:rsidRPr="00D8262E">
              <w:rPr>
                <w:rFonts w:ascii="Arial" w:hAnsi="Arial" w:cs="Arial"/>
                <w:sz w:val="22"/>
                <w:szCs w:val="22"/>
              </w:rPr>
              <w:t>) oder Hausarbei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0332D">
              <w:rPr>
                <w:rFonts w:ascii="Arial" w:hAnsi="Arial" w:cs="Arial"/>
                <w:sz w:val="22"/>
                <w:szCs w:val="22"/>
              </w:rPr>
              <w:t xml:space="preserve"> oder Portfolio </w:t>
            </w:r>
            <w:r w:rsidR="0070332D">
              <w:rPr>
                <w:rFonts w:ascii="Arial" w:hAnsi="Arial" w:cs="Arial"/>
                <w:sz w:val="22"/>
                <w:szCs w:val="22"/>
              </w:rPr>
              <w:t>(</w:t>
            </w:r>
            <w:r w:rsidR="0070332D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die Option Portfolio </w:t>
            </w:r>
            <w:r w:rsidR="0070332D">
              <w:rPr>
                <w:rFonts w:ascii="Arial" w:hAnsi="Arial" w:cs="Arial"/>
                <w:color w:val="000000"/>
                <w:sz w:val="20"/>
                <w:szCs w:val="20"/>
              </w:rPr>
              <w:t xml:space="preserve">gilt nur </w:t>
            </w:r>
            <w:r w:rsidR="0070332D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während der Gültigkeit der </w:t>
            </w:r>
            <w:proofErr w:type="spellStart"/>
            <w:r w:rsidR="0070332D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70332D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aus dem Jahr 2020, d.h. im </w:t>
            </w:r>
            <w:proofErr w:type="spellStart"/>
            <w:r w:rsidR="0070332D" w:rsidRPr="00AF5DA7">
              <w:rPr>
                <w:rFonts w:ascii="Arial" w:hAnsi="Arial" w:cs="Arial"/>
                <w:color w:val="000000"/>
                <w:sz w:val="20"/>
                <w:szCs w:val="20"/>
              </w:rPr>
              <w:t>SoSe</w:t>
            </w:r>
            <w:proofErr w:type="spellEnd"/>
            <w:r w:rsidR="0070332D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 und [bei Verlängerung der </w:t>
            </w:r>
            <w:proofErr w:type="spellStart"/>
            <w:r w:rsidR="0070332D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70332D" w:rsidRPr="00AF5DA7">
              <w:rPr>
                <w:rFonts w:ascii="Arial" w:hAnsi="Arial" w:cs="Arial"/>
                <w:color w:val="000000"/>
                <w:sz w:val="20"/>
                <w:szCs w:val="20"/>
              </w:rPr>
              <w:t>] im WS 2020/21)</w:t>
            </w:r>
            <w:bookmarkStart w:id="0" w:name="_GoBack"/>
            <w:bookmarkEnd w:id="0"/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Berechnung Modulnote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Prüfungsleistung 100%</w:t>
            </w:r>
          </w:p>
        </w:tc>
      </w:tr>
      <w:tr w:rsidR="008B766C" w:rsidRPr="00395704" w:rsidTr="00CB2535">
        <w:trPr>
          <w:trHeight w:val="40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Turnus des Angebots</w:t>
            </w:r>
          </w:p>
        </w:tc>
        <w:tc>
          <w:tcPr>
            <w:tcW w:w="6520" w:type="dxa"/>
          </w:tcPr>
          <w:p w:rsidR="008B766C" w:rsidRPr="00BF0EAA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Jährlich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Arbeitsaufwand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CB2535" w:rsidRPr="00747035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Das Modul erfordert einen Arbeitsaufwand von ca.</w:t>
            </w:r>
          </w:p>
          <w:p w:rsidR="008B766C" w:rsidRPr="00BF0EAA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150 Arbeitsstunden, davon sind ca. 60 Stunde</w:t>
            </w:r>
            <w:r>
              <w:rPr>
                <w:rFonts w:ascii="Arial" w:hAnsi="Arial" w:cs="Arial"/>
                <w:sz w:val="22"/>
                <w:szCs w:val="22"/>
              </w:rPr>
              <w:t>n Präsenzzeit.</w:t>
            </w:r>
          </w:p>
        </w:tc>
      </w:tr>
      <w:tr w:rsidR="008B766C" w:rsidRPr="00395704" w:rsidTr="00CB2535">
        <w:trPr>
          <w:trHeight w:val="2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Dauer des Moduls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Semester</w:t>
            </w:r>
          </w:p>
        </w:tc>
      </w:tr>
      <w:tr w:rsidR="008B766C" w:rsidRPr="00395704" w:rsidTr="00CB2535">
        <w:trPr>
          <w:cantSplit/>
          <w:trHeight w:val="1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Unterrichtssprache</w:t>
            </w:r>
          </w:p>
        </w:tc>
        <w:tc>
          <w:tcPr>
            <w:tcW w:w="6520" w:type="dxa"/>
            <w:noWrap/>
          </w:tcPr>
          <w:p w:rsidR="008B766C" w:rsidRPr="00BF0EAA" w:rsidRDefault="008B766C" w:rsidP="00BB1F0E">
            <w:pPr>
              <w:rPr>
                <w:rFonts w:ascii="Arial" w:hAnsi="Arial" w:cs="Arial"/>
                <w:sz w:val="22"/>
                <w:szCs w:val="22"/>
              </w:rPr>
            </w:pPr>
            <w:r w:rsidRPr="00BF0EAA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Vorbereitende Literatur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92" w:rsidRDefault="00254F92" w:rsidP="00D8262E">
            <w:pPr>
              <w:rPr>
                <w:rFonts w:ascii="Arial" w:hAnsi="Arial" w:cs="Arial"/>
                <w:sz w:val="22"/>
                <w:szCs w:val="22"/>
              </w:rPr>
            </w:pPr>
            <w:r w:rsidRPr="00254F92">
              <w:rPr>
                <w:rFonts w:ascii="Arial" w:hAnsi="Arial" w:cs="Arial"/>
                <w:sz w:val="22"/>
                <w:szCs w:val="22"/>
              </w:rPr>
              <w:t>Manfred Hutter, Die Weltreligionen, München 2008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8262E" w:rsidRPr="00D8262E" w:rsidRDefault="00D8262E" w:rsidP="00D8262E">
            <w:pPr>
              <w:rPr>
                <w:rFonts w:ascii="Arial" w:hAnsi="Arial" w:cs="Arial"/>
                <w:sz w:val="22"/>
                <w:szCs w:val="22"/>
              </w:rPr>
            </w:pPr>
            <w:r w:rsidRPr="00D8262E">
              <w:rPr>
                <w:rFonts w:ascii="Arial" w:hAnsi="Arial" w:cs="Arial"/>
                <w:sz w:val="22"/>
                <w:szCs w:val="22"/>
              </w:rPr>
              <w:t xml:space="preserve">Hans Georg </w:t>
            </w:r>
            <w:proofErr w:type="spellStart"/>
            <w:r w:rsidRPr="00D8262E">
              <w:rPr>
                <w:rFonts w:ascii="Arial" w:hAnsi="Arial" w:cs="Arial"/>
                <w:sz w:val="22"/>
                <w:szCs w:val="22"/>
              </w:rPr>
              <w:t>Kippenberg</w:t>
            </w:r>
            <w:proofErr w:type="spellEnd"/>
            <w:r w:rsidRPr="00D8262E"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spellStart"/>
            <w:r w:rsidRPr="00D8262E">
              <w:rPr>
                <w:rFonts w:ascii="Arial" w:hAnsi="Arial" w:cs="Arial"/>
                <w:sz w:val="22"/>
                <w:szCs w:val="22"/>
              </w:rPr>
              <w:t>Kocku</w:t>
            </w:r>
            <w:proofErr w:type="spellEnd"/>
            <w:r w:rsidRPr="00D8262E">
              <w:rPr>
                <w:rFonts w:ascii="Arial" w:hAnsi="Arial" w:cs="Arial"/>
                <w:sz w:val="22"/>
                <w:szCs w:val="22"/>
              </w:rPr>
              <w:t xml:space="preserve"> von </w:t>
            </w:r>
            <w:proofErr w:type="spellStart"/>
            <w:r w:rsidRPr="00D8262E">
              <w:rPr>
                <w:rFonts w:ascii="Arial" w:hAnsi="Arial" w:cs="Arial"/>
                <w:sz w:val="22"/>
                <w:szCs w:val="22"/>
              </w:rPr>
              <w:t>Stuckrad</w:t>
            </w:r>
            <w:proofErr w:type="spellEnd"/>
            <w:r w:rsidRPr="00D8262E">
              <w:rPr>
                <w:rFonts w:ascii="Arial" w:hAnsi="Arial" w:cs="Arial"/>
                <w:sz w:val="22"/>
                <w:szCs w:val="22"/>
              </w:rPr>
              <w:t>, Einführung in die</w:t>
            </w:r>
          </w:p>
          <w:p w:rsidR="00D8262E" w:rsidRPr="00D8262E" w:rsidRDefault="00D8262E" w:rsidP="00D8262E">
            <w:pPr>
              <w:rPr>
                <w:rFonts w:ascii="Arial" w:hAnsi="Arial" w:cs="Arial"/>
                <w:sz w:val="22"/>
                <w:szCs w:val="22"/>
              </w:rPr>
            </w:pPr>
            <w:r w:rsidRPr="00D8262E">
              <w:rPr>
                <w:rFonts w:ascii="Arial" w:hAnsi="Arial" w:cs="Arial"/>
                <w:sz w:val="22"/>
                <w:szCs w:val="22"/>
              </w:rPr>
              <w:t>Religionswissenschaft, München 2003.</w:t>
            </w:r>
          </w:p>
          <w:p w:rsidR="008B766C" w:rsidRPr="004D5EE5" w:rsidRDefault="00D8262E" w:rsidP="00D8262E">
            <w:pPr>
              <w:rPr>
                <w:rFonts w:ascii="Arial" w:hAnsi="Arial" w:cs="Arial"/>
                <w:sz w:val="22"/>
                <w:szCs w:val="22"/>
              </w:rPr>
            </w:pPr>
            <w:r w:rsidRPr="00D8262E">
              <w:rPr>
                <w:rFonts w:ascii="Arial" w:hAnsi="Arial" w:cs="Arial"/>
                <w:sz w:val="22"/>
                <w:szCs w:val="22"/>
              </w:rPr>
              <w:t>Weitere Literatur wird bei Ankündigung der L</w:t>
            </w:r>
            <w:r>
              <w:rPr>
                <w:rFonts w:ascii="Arial" w:hAnsi="Arial" w:cs="Arial"/>
                <w:sz w:val="22"/>
                <w:szCs w:val="22"/>
              </w:rPr>
              <w:t>ehrveranstaltungen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UnivIS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angegeben.</w:t>
            </w:r>
          </w:p>
        </w:tc>
      </w:tr>
    </w:tbl>
    <w:p w:rsidR="00432A9D" w:rsidRDefault="00432A9D"/>
    <w:sectPr w:rsidR="00432A9D" w:rsidSect="008B766C">
      <w:headerReference w:type="even" r:id="rId8"/>
      <w:headerReference w:type="default" r:id="rId9"/>
      <w:headerReference w:type="first" r:id="rId10"/>
      <w:pgSz w:w="11907" w:h="16840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60" w:rsidRDefault="00EB3B60">
      <w:r>
        <w:separator/>
      </w:r>
    </w:p>
  </w:endnote>
  <w:endnote w:type="continuationSeparator" w:id="0">
    <w:p w:rsidR="00EB3B60" w:rsidRDefault="00EB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60" w:rsidRDefault="00EB3B60">
      <w:r>
        <w:separator/>
      </w:r>
    </w:p>
  </w:footnote>
  <w:footnote w:type="continuationSeparator" w:id="0">
    <w:p w:rsidR="00EB3B60" w:rsidRDefault="00EB3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tab/>
    </w:r>
    <w:r>
      <w:tab/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254F92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EB3B60">
    <w:pPr>
      <w:pStyle w:val="Kopfzeile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AC0"/>
    <w:multiLevelType w:val="hybridMultilevel"/>
    <w:tmpl w:val="79BCB1D0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7E2260"/>
    <w:multiLevelType w:val="hybridMultilevel"/>
    <w:tmpl w:val="A7E464FC"/>
    <w:lvl w:ilvl="0" w:tplc="B776A0A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F0C89"/>
    <w:multiLevelType w:val="hybridMultilevel"/>
    <w:tmpl w:val="1DF49A40"/>
    <w:lvl w:ilvl="0" w:tplc="8FA2BFD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C"/>
    <w:rsid w:val="00254F92"/>
    <w:rsid w:val="002F25C7"/>
    <w:rsid w:val="00370C9E"/>
    <w:rsid w:val="00432A9D"/>
    <w:rsid w:val="0070332D"/>
    <w:rsid w:val="00747425"/>
    <w:rsid w:val="007B05B0"/>
    <w:rsid w:val="00801E8B"/>
    <w:rsid w:val="008B766C"/>
    <w:rsid w:val="00A37E78"/>
    <w:rsid w:val="00AF3F95"/>
    <w:rsid w:val="00C11787"/>
    <w:rsid w:val="00CB2535"/>
    <w:rsid w:val="00D16EE8"/>
    <w:rsid w:val="00D45C53"/>
    <w:rsid w:val="00D8262E"/>
    <w:rsid w:val="00E81CE4"/>
    <w:rsid w:val="00E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82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8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Ekkehard</dc:creator>
  <cp:lastModifiedBy>Familie Weber</cp:lastModifiedBy>
  <cp:revision>8</cp:revision>
  <dcterms:created xsi:type="dcterms:W3CDTF">2016-02-13T16:29:00Z</dcterms:created>
  <dcterms:modified xsi:type="dcterms:W3CDTF">2020-05-13T20:22:00Z</dcterms:modified>
</cp:coreProperties>
</file>