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883"/>
        <w:gridCol w:w="2937"/>
        <w:gridCol w:w="1882"/>
      </w:tblGrid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1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b/>
                <w:bCs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b/>
                <w:bCs/>
                <w:sz w:val="22"/>
                <w:szCs w:val="22"/>
              </w:rPr>
              <w:t>Modulbezeichnung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b/>
                <w:bCs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b/>
                <w:bCs/>
                <w:sz w:val="22"/>
                <w:szCs w:val="22"/>
              </w:rPr>
              <w:t>Kirchengeschichte 2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b/>
                <w:bCs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b/>
                <w:bCs/>
                <w:sz w:val="22"/>
                <w:szCs w:val="22"/>
              </w:rPr>
              <w:t>5 ECTS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Lehrveranstaltungen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HS Spezialproblem/-thema der Kirchengeschichte</w:t>
            </w:r>
          </w:p>
          <w:p w:rsidR="001631A6" w:rsidRDefault="001631A6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</w:p>
          <w:p w:rsidR="001631A6" w:rsidRDefault="00A54549">
            <w:pPr>
              <w:autoSpaceDE w:val="0"/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V Kirchengeschichte im Überblick 1 o. 2 o. 3 o. 4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3 ECTS</w:t>
            </w:r>
          </w:p>
          <w:p w:rsidR="001631A6" w:rsidRDefault="001631A6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</w:p>
          <w:p w:rsidR="001631A6" w:rsidRDefault="001631A6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</w:p>
          <w:p w:rsidR="001631A6" w:rsidRDefault="001631A6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</w:p>
          <w:p w:rsidR="001631A6" w:rsidRDefault="00A54549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2 ECTS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Dozenten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</w:pPr>
            <w:r>
              <w:rPr>
                <w:sz w:val="22"/>
                <w:szCs w:val="22"/>
              </w:rPr>
              <w:t xml:space="preserve">Prof. Dr. Anselm Schubert, Prof. Dr. Charlotte </w:t>
            </w:r>
            <w:proofErr w:type="spellStart"/>
            <w:r>
              <w:rPr>
                <w:sz w:val="22"/>
                <w:szCs w:val="22"/>
              </w:rPr>
              <w:t>Köckert</w:t>
            </w:r>
            <w:proofErr w:type="spellEnd"/>
            <w:r>
              <w:rPr>
                <w:sz w:val="22"/>
                <w:szCs w:val="22"/>
              </w:rPr>
              <w:t xml:space="preserve">, PD Dr. Nicole </w:t>
            </w:r>
            <w:proofErr w:type="spellStart"/>
            <w:r>
              <w:rPr>
                <w:sz w:val="22"/>
                <w:szCs w:val="22"/>
              </w:rPr>
              <w:t>Grochowina</w:t>
            </w:r>
            <w:proofErr w:type="spellEnd"/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1631A6">
            <w:pPr>
              <w:pStyle w:val="TableContents"/>
              <w:rPr>
                <w:rFonts w:ascii="Arial" w:hAnsi="Arial"/>
              </w:rPr>
            </w:pPr>
          </w:p>
        </w:tc>
      </w:tr>
    </w:tbl>
    <w:p w:rsidR="001631A6" w:rsidRDefault="001631A6">
      <w:pPr>
        <w:rPr>
          <w:vanish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880"/>
        <w:gridCol w:w="4822"/>
      </w:tblGrid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Modulverantwortlicher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</w:pPr>
            <w:r>
              <w:rPr>
                <w:sz w:val="22"/>
                <w:szCs w:val="22"/>
              </w:rPr>
              <w:t xml:space="preserve">Prof. Dr. Anselm Schubert, Prof. Dr. Charlotte </w:t>
            </w:r>
            <w:proofErr w:type="spellStart"/>
            <w:r>
              <w:rPr>
                <w:sz w:val="22"/>
                <w:szCs w:val="22"/>
              </w:rPr>
              <w:t>Köckert</w:t>
            </w:r>
            <w:proofErr w:type="spellEnd"/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Inhalt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 xml:space="preserve">- V: Überblick über die wichtigsten kirchen-, theologie- und </w:t>
            </w: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frömmigkeits- geschichtlichen Strömungen der jeweiligen Epoche (Christliche Antike; Früh- und Hochmittelalter; Spätmittelalter und Reformation; Konfessionelles Zeitalter bis zum Ersten Weltkrieg)</w:t>
            </w:r>
          </w:p>
          <w:p w:rsidR="001631A6" w:rsidRDefault="00A54549">
            <w:pPr>
              <w:autoSpaceDE w:val="0"/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- HS: Vertiefter Einblick in ein Spezialproblem/-thema der K</w:t>
            </w: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irchengeschichte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Lernziele und Kompetenzen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V: Die Studierenden</w:t>
            </w:r>
          </w:p>
          <w:p w:rsidR="001631A6" w:rsidRDefault="00A54549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 xml:space="preserve">- erwerben Kenntnisse über wichtige Personen, Ereignisse, Vorgänge und Entwicklungslinien der </w:t>
            </w:r>
            <w:proofErr w:type="spellStart"/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Christentumsgeschichte</w:t>
            </w:r>
            <w:proofErr w:type="spellEnd"/>
          </w:p>
          <w:p w:rsidR="001631A6" w:rsidRDefault="00A54549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- erwerben eine kritische Urteilsfähigkeit im Umgang mit den christlichen</w:t>
            </w: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 xml:space="preserve"> Traditionen und ein Verständnis größerer kulturgeschichtlicher Zusammenhänge</w:t>
            </w:r>
          </w:p>
          <w:p w:rsidR="001631A6" w:rsidRDefault="00A54549">
            <w:pPr>
              <w:autoSpaceDE w:val="0"/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HS: Die Studierenden erwerben die Fähigkeit zu selbständigem wissenschaftlichen Arbeiten, kritischem Umgang mit dem aktuellen Forschungsstand sowie zur differenzierten Auseinande</w:t>
            </w: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rsetzung mit methodisch unterschiedlichen Interpretationsansätzen.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Voraussetzungen für die</w:t>
            </w:r>
          </w:p>
          <w:p w:rsidR="001631A6" w:rsidRDefault="00A54549">
            <w:pPr>
              <w:autoSpaceDE w:val="0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Teilnahme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keine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Einpassung in</w:t>
            </w:r>
          </w:p>
          <w:p w:rsidR="001631A6" w:rsidRDefault="00A54549">
            <w:pPr>
              <w:autoSpaceDE w:val="0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Musterstudienplan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5. und 6. Studiensemester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Verwendbarkeit des Moduls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 xml:space="preserve">Im Studiengang LA Gymnasium Evangelische Religionslehre </w:t>
            </w: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als Modul Kirchengeschichte 2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Studien- und</w:t>
            </w:r>
          </w:p>
          <w:p w:rsidR="001631A6" w:rsidRDefault="00A54549">
            <w:pPr>
              <w:autoSpaceDE w:val="0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Prüfungsleistungen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 xml:space="preserve">Schriftliche Hausarbeit im Hauptseminar (ca. 30 Seiten) oder Portfolio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gilt nur während der Gültigkeit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Verlängerung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Berechnung Modulnote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Ergebnis der Hausarbeit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Turnus des Angebots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Jährlich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Arbeitsaufwand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Präsenzzeit: 45 h</w:t>
            </w:r>
          </w:p>
          <w:p w:rsidR="001631A6" w:rsidRDefault="00A54549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Eigenstudium: 105 h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Dauer des Moduls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1-2 Semester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Unterrichtssprache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 xml:space="preserve">Sofern </w:t>
            </w: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nicht anders angegeben ist die</w:t>
            </w:r>
          </w:p>
          <w:p w:rsidR="001631A6" w:rsidRDefault="00A54549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Unterrichtssprache der Veranstaltungen Deutsch</w:t>
            </w:r>
          </w:p>
        </w:tc>
      </w:tr>
      <w:tr w:rsidR="001631A6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pStyle w:val="TableContents"/>
              <w:rPr>
                <w:rFonts w:ascii="CAAAAA+Arial-BoldMT" w:eastAsia="CAAAAA+Arial-BoldMT" w:hAnsi="CAAAAA+Arial-BoldMT" w:cs="CAAAAA+Arial-BoldMT"/>
                <w:sz w:val="22"/>
                <w:szCs w:val="22"/>
              </w:rPr>
            </w:pPr>
            <w:r>
              <w:rPr>
                <w:rFonts w:ascii="CAAAAA+Arial-BoldMT" w:eastAsia="CAAAAA+Arial-BoldMT" w:hAnsi="CAAAAA+Arial-BoldMT" w:cs="CAAAAA+Arial-BoldMT"/>
                <w:sz w:val="22"/>
                <w:szCs w:val="22"/>
              </w:rPr>
              <w:t>Vorbereitende Literatur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1A6" w:rsidRDefault="00A54549">
            <w:pPr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Literaturhinweise finden sich im aktuellen</w:t>
            </w:r>
          </w:p>
          <w:p w:rsidR="001631A6" w:rsidRDefault="00A54549">
            <w:pPr>
              <w:autoSpaceDE w:val="0"/>
              <w:rPr>
                <w:rFonts w:ascii="BAAAAA+ArialMT" w:eastAsia="BAAAAA+ArialMT" w:hAnsi="BAAAAA+ArialMT" w:cs="BAAAAA+ArialMT"/>
                <w:sz w:val="22"/>
                <w:szCs w:val="22"/>
              </w:rPr>
            </w:pPr>
            <w:r>
              <w:rPr>
                <w:rFonts w:ascii="BAAAAA+ArialMT" w:eastAsia="BAAAAA+ArialMT" w:hAnsi="BAAAAA+ArialMT" w:cs="BAAAAA+ArialMT"/>
                <w:sz w:val="22"/>
                <w:szCs w:val="22"/>
              </w:rPr>
              <w:t>Vorlesungsverzeichnis.</w:t>
            </w:r>
          </w:p>
        </w:tc>
      </w:tr>
    </w:tbl>
    <w:p w:rsidR="001631A6" w:rsidRDefault="001631A6">
      <w:pPr>
        <w:rPr>
          <w:rFonts w:ascii="Arial" w:eastAsia="BAAAAA+ArialMT" w:hAnsi="Arial" w:cs="BAAAAA+ArialMT"/>
          <w:sz w:val="22"/>
          <w:szCs w:val="22"/>
        </w:rPr>
      </w:pPr>
    </w:p>
    <w:sectPr w:rsidR="001631A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49" w:rsidRDefault="00A54549">
      <w:r>
        <w:separator/>
      </w:r>
    </w:p>
  </w:endnote>
  <w:endnote w:type="continuationSeparator" w:id="0">
    <w:p w:rsidR="00A54549" w:rsidRDefault="00A5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AAAA+Arial-BoldMT">
    <w:altName w:val="Times New Roman"/>
    <w:charset w:val="00"/>
    <w:family w:val="auto"/>
    <w:pitch w:val="default"/>
  </w:font>
  <w:font w:name="BAAAAA+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49" w:rsidRDefault="00A54549">
      <w:r>
        <w:rPr>
          <w:color w:val="000000"/>
        </w:rPr>
        <w:separator/>
      </w:r>
    </w:p>
  </w:footnote>
  <w:footnote w:type="continuationSeparator" w:id="0">
    <w:p w:rsidR="00A54549" w:rsidRDefault="00A5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1A6"/>
    <w:rsid w:val="001631A6"/>
    <w:rsid w:val="00A54549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Weber</dc:creator>
  <cp:lastModifiedBy>Familie Weber</cp:lastModifiedBy>
  <cp:revision>2</cp:revision>
  <dcterms:created xsi:type="dcterms:W3CDTF">2020-07-21T20:56:00Z</dcterms:created>
  <dcterms:modified xsi:type="dcterms:W3CDTF">2020-07-21T20:56:00Z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